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16" w:rsidRDefault="00C4198D" w:rsidP="00F25721">
      <w:pPr>
        <w:ind w:left="100"/>
        <w:rPr>
          <w:b/>
          <w:sz w:val="24"/>
          <w:szCs w:val="24"/>
        </w:rPr>
      </w:pPr>
      <w:r>
        <w:rPr>
          <w:b/>
          <w:sz w:val="24"/>
          <w:szCs w:val="24"/>
        </w:rPr>
        <w:t>General Chemistry</w:t>
      </w:r>
      <w:r w:rsidR="00BA3F16">
        <w:rPr>
          <w:b/>
          <w:sz w:val="24"/>
          <w:szCs w:val="24"/>
        </w:rPr>
        <w:t xml:space="preserve"> Lab/Inorganic Chemistry</w:t>
      </w:r>
      <w:r>
        <w:rPr>
          <w:b/>
          <w:sz w:val="24"/>
          <w:szCs w:val="24"/>
        </w:rPr>
        <w:t xml:space="preserve"> </w:t>
      </w:r>
      <w:r w:rsidR="00F25721">
        <w:rPr>
          <w:b/>
          <w:sz w:val="24"/>
          <w:szCs w:val="24"/>
        </w:rPr>
        <w:t>Lab</w:t>
      </w:r>
      <w:r>
        <w:rPr>
          <w:b/>
          <w:sz w:val="24"/>
          <w:szCs w:val="24"/>
        </w:rPr>
        <w:t xml:space="preserve"> Report Sample</w:t>
      </w:r>
      <w:r w:rsidR="00F25721">
        <w:rPr>
          <w:b/>
          <w:sz w:val="24"/>
          <w:szCs w:val="24"/>
        </w:rPr>
        <w:t xml:space="preserve"> #1</w:t>
      </w:r>
      <w:r>
        <w:rPr>
          <w:b/>
          <w:sz w:val="24"/>
          <w:szCs w:val="24"/>
        </w:rPr>
        <w:t xml:space="preserve"> </w:t>
      </w:r>
    </w:p>
    <w:p w:rsidR="00440248" w:rsidRDefault="00C4198D" w:rsidP="00BA3F16">
      <w:pPr>
        <w:ind w:left="1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(YTU-Inorganic </w:t>
      </w:r>
      <w:proofErr w:type="spellStart"/>
      <w:r>
        <w:rPr>
          <w:b/>
          <w:sz w:val="24"/>
          <w:szCs w:val="24"/>
        </w:rPr>
        <w:t>Chem</w:t>
      </w:r>
      <w:proofErr w:type="spellEnd"/>
      <w:r w:rsidR="00BA3F16">
        <w:rPr>
          <w:b/>
          <w:sz w:val="24"/>
          <w:szCs w:val="24"/>
        </w:rPr>
        <w:t xml:space="preserve"> </w:t>
      </w:r>
      <w:proofErr w:type="spellStart"/>
      <w:r w:rsidR="00BA3F16">
        <w:rPr>
          <w:b/>
          <w:sz w:val="24"/>
          <w:szCs w:val="24"/>
        </w:rPr>
        <w:t>Devision</w:t>
      </w:r>
      <w:proofErr w:type="spellEnd"/>
      <w:r>
        <w:rPr>
          <w:b/>
          <w:sz w:val="24"/>
          <w:szCs w:val="24"/>
        </w:rPr>
        <w:t>)</w:t>
      </w:r>
    </w:p>
    <w:tbl>
      <w:tblPr>
        <w:tblStyle w:val="AkKlavuz"/>
        <w:tblpPr w:leftFromText="141" w:rightFromText="141" w:vertAnchor="text" w:horzAnchor="margin" w:tblpX="-176" w:tblpY="157"/>
        <w:tblW w:w="9854" w:type="dxa"/>
        <w:tblLook w:val="04A0" w:firstRow="1" w:lastRow="0" w:firstColumn="1" w:lastColumn="0" w:noHBand="0" w:noVBand="1"/>
      </w:tblPr>
      <w:tblGrid>
        <w:gridCol w:w="6771"/>
        <w:gridCol w:w="3083"/>
      </w:tblGrid>
      <w:tr w:rsidR="00440248" w:rsidRPr="00F90E61" w:rsidTr="00212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440248" w:rsidRPr="00440248" w:rsidRDefault="00440248" w:rsidP="00212552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0248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  <w:r w:rsidRPr="0044024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44024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40248">
              <w:rPr>
                <w:rFonts w:asciiTheme="minorHAnsi" w:hAnsiTheme="minorHAnsi" w:cstheme="minorHAnsi"/>
                <w:b w:val="0"/>
                <w:sz w:val="24"/>
                <w:szCs w:val="24"/>
              </w:rPr>
              <w:t>John Smith</w:t>
            </w:r>
          </w:p>
          <w:p w:rsidR="00440248" w:rsidRPr="00440248" w:rsidRDefault="00440248" w:rsidP="00212552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40248">
              <w:rPr>
                <w:rFonts w:asciiTheme="minorHAnsi" w:hAnsiTheme="minorHAnsi" w:cstheme="minorHAnsi"/>
                <w:sz w:val="24"/>
                <w:szCs w:val="24"/>
              </w:rPr>
              <w:t>Name of Partners:</w:t>
            </w:r>
            <w:r w:rsidRPr="0044024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44024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40248">
              <w:rPr>
                <w:rFonts w:asciiTheme="minorHAnsi" w:hAnsiTheme="minorHAnsi" w:cstheme="minorHAnsi"/>
                <w:b w:val="0"/>
                <w:sz w:val="24"/>
                <w:szCs w:val="24"/>
              </w:rPr>
              <w:t>Jane Jones</w:t>
            </w:r>
            <w:r w:rsidRPr="00440248">
              <w:rPr>
                <w:rFonts w:asciiTheme="minorHAnsi" w:hAnsiTheme="minorHAnsi" w:cstheme="minorHAnsi"/>
                <w:b w:val="0"/>
                <w:sz w:val="24"/>
                <w:szCs w:val="24"/>
              </w:rPr>
              <w:t>, Martin Sander</w:t>
            </w:r>
          </w:p>
          <w:p w:rsidR="00440248" w:rsidRPr="00440248" w:rsidRDefault="00440248" w:rsidP="00212552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40248">
              <w:rPr>
                <w:rFonts w:asciiTheme="minorHAnsi" w:hAnsiTheme="minorHAnsi" w:cstheme="minorHAnsi"/>
                <w:sz w:val="24"/>
                <w:szCs w:val="24"/>
              </w:rPr>
              <w:t>Class Name/ Group:</w:t>
            </w:r>
            <w:r w:rsidRPr="0044024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440248">
              <w:rPr>
                <w:rFonts w:asciiTheme="minorHAnsi" w:hAnsiTheme="minorHAnsi" w:cstheme="minorHAnsi"/>
                <w:b w:val="0"/>
                <w:sz w:val="24"/>
                <w:szCs w:val="24"/>
              </w:rPr>
              <w:t>General Chemistry Lab. 1/ Group 1</w:t>
            </w:r>
          </w:p>
          <w:p w:rsidR="00440248" w:rsidRPr="00440248" w:rsidRDefault="00440248" w:rsidP="00440248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40248">
              <w:rPr>
                <w:rFonts w:asciiTheme="minorHAnsi" w:hAnsiTheme="minorHAnsi" w:cstheme="minorHAnsi"/>
                <w:sz w:val="24"/>
                <w:szCs w:val="24"/>
              </w:rPr>
              <w:t>Date Lab Report:</w:t>
            </w:r>
            <w:r w:rsidRPr="0044024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26 November 2009</w:t>
            </w:r>
          </w:p>
          <w:p w:rsidR="00440248" w:rsidRPr="00F90E61" w:rsidRDefault="00440248" w:rsidP="00212552">
            <w:pPr>
              <w:spacing w:after="200" w:line="276" w:lineRule="auto"/>
              <w:rPr>
                <w:rFonts w:asciiTheme="minorHAnsi" w:hAnsiTheme="minorHAnsi" w:cstheme="minorHAnsi"/>
                <w:u w:val="thick"/>
              </w:rPr>
            </w:pPr>
            <w:r w:rsidRPr="00440248">
              <w:rPr>
                <w:rFonts w:asciiTheme="minorHAnsi" w:hAnsiTheme="minorHAnsi" w:cstheme="minorHAnsi"/>
                <w:sz w:val="24"/>
                <w:szCs w:val="24"/>
              </w:rPr>
              <w:t>Experiment Number:</w:t>
            </w:r>
            <w:r w:rsidRPr="0044024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</w:t>
            </w:r>
            <w:r w:rsidRPr="00440248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Pr="0044024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       </w:t>
            </w:r>
            <w:r w:rsidRPr="00440248">
              <w:rPr>
                <w:rFonts w:asciiTheme="minorHAnsi" w:hAnsiTheme="minorHAnsi" w:cstheme="minorHAnsi"/>
                <w:sz w:val="24"/>
                <w:szCs w:val="24"/>
              </w:rPr>
              <w:t>Exp. Group Number:</w:t>
            </w:r>
            <w:r w:rsidRPr="0044024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2</w:t>
            </w:r>
          </w:p>
        </w:tc>
        <w:tc>
          <w:tcPr>
            <w:tcW w:w="3083" w:type="dxa"/>
          </w:tcPr>
          <w:p w:rsidR="00440248" w:rsidRPr="00440248" w:rsidRDefault="00440248" w:rsidP="00440248">
            <w:pPr>
              <w:spacing w:before="2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40248">
              <w:rPr>
                <w:rFonts w:asciiTheme="minorHAnsi" w:hAnsiTheme="minorHAnsi" w:cstheme="minorHAnsi"/>
                <w:b w:val="0"/>
                <w:sz w:val="22"/>
                <w:szCs w:val="22"/>
              </w:rPr>
              <w:t>YILDIZ TECHNICAL UNIVERSITY</w:t>
            </w:r>
          </w:p>
          <w:p w:rsidR="00440248" w:rsidRPr="00440248" w:rsidRDefault="00440248" w:rsidP="0021255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40248">
              <w:rPr>
                <w:rFonts w:cstheme="minorHAnsi"/>
                <w:noProof/>
                <w:sz w:val="22"/>
                <w:szCs w:val="22"/>
                <w:lang w:eastAsia="tr-TR"/>
              </w:rPr>
              <w:drawing>
                <wp:inline distT="0" distB="0" distL="0" distR="0" wp14:anchorId="4344AEE2" wp14:editId="3CF5F8E1">
                  <wp:extent cx="971550" cy="971550"/>
                  <wp:effectExtent l="0" t="0" r="0" b="0"/>
                  <wp:docPr id="4" name="Resim 4" descr="http://www.kml.yildiz.edu.tr/style/img/logo_yild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ml.yildiz.edu.tr/style/img/logo_yild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248" w:rsidRPr="00440248" w:rsidRDefault="00440248" w:rsidP="0021255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40248">
              <w:rPr>
                <w:rFonts w:asciiTheme="minorHAnsi" w:hAnsiTheme="minorHAnsi" w:cstheme="minorHAnsi"/>
                <w:b w:val="0"/>
                <w:sz w:val="22"/>
                <w:szCs w:val="22"/>
              </w:rPr>
              <w:t>Department of Chemistry</w:t>
            </w:r>
          </w:p>
          <w:p w:rsidR="00440248" w:rsidRPr="00F90E61" w:rsidRDefault="00440248" w:rsidP="0021255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40248">
              <w:rPr>
                <w:rFonts w:asciiTheme="minorHAnsi" w:hAnsiTheme="minorHAnsi" w:cstheme="minorHAnsi"/>
                <w:b w:val="0"/>
                <w:sz w:val="22"/>
                <w:szCs w:val="22"/>
              </w:rPr>
              <w:t>Inorganic Chemistry Division</w:t>
            </w:r>
          </w:p>
        </w:tc>
      </w:tr>
    </w:tbl>
    <w:p w:rsidR="00440248" w:rsidRDefault="00440248" w:rsidP="00F25721">
      <w:pPr>
        <w:spacing w:before="59"/>
        <w:rPr>
          <w:b/>
          <w:sz w:val="24"/>
          <w:szCs w:val="24"/>
        </w:rPr>
      </w:pPr>
    </w:p>
    <w:p w:rsidR="00F25721" w:rsidRDefault="00440248" w:rsidP="00F25721">
      <w:pPr>
        <w:spacing w:before="59"/>
        <w:rPr>
          <w:sz w:val="24"/>
          <w:szCs w:val="24"/>
        </w:rPr>
      </w:pPr>
      <w:r>
        <w:rPr>
          <w:b/>
          <w:sz w:val="24"/>
          <w:szCs w:val="24"/>
        </w:rPr>
        <w:t xml:space="preserve">Experiment Name: </w:t>
      </w:r>
      <w:r w:rsidR="00F25721">
        <w:rPr>
          <w:b/>
          <w:sz w:val="24"/>
          <w:szCs w:val="24"/>
        </w:rPr>
        <w:t>Boiling Point of Water</w:t>
      </w:r>
    </w:p>
    <w:p w:rsidR="00F25721" w:rsidRDefault="00F25721" w:rsidP="00F25721">
      <w:pPr>
        <w:spacing w:line="200" w:lineRule="exact"/>
      </w:pPr>
    </w:p>
    <w:p w:rsidR="00F25721" w:rsidRDefault="00F25721" w:rsidP="00F25721">
      <w:pPr>
        <w:spacing w:line="200" w:lineRule="exact"/>
      </w:pPr>
    </w:p>
    <w:p w:rsidR="00F25721" w:rsidRDefault="00F25721" w:rsidP="00F25721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Introduction:</w:t>
      </w:r>
    </w:p>
    <w:p w:rsidR="00F25721" w:rsidRDefault="00F25721" w:rsidP="00F25721">
      <w:pPr>
        <w:ind w:left="100"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Kinetic theory states that all molecules in matter are in constant motion (Kane and </w:t>
      </w:r>
      <w:proofErr w:type="spellStart"/>
      <w:r>
        <w:rPr>
          <w:sz w:val="24"/>
          <w:szCs w:val="24"/>
        </w:rPr>
        <w:t>Sternheim</w:t>
      </w:r>
      <w:proofErr w:type="spellEnd"/>
      <w:r>
        <w:rPr>
          <w:sz w:val="24"/>
          <w:szCs w:val="24"/>
        </w:rPr>
        <w:t xml:space="preserve">, 1984). As these molecules absorb more energy they have a higher amount of random movement. As energy is absorbed in the form of heat the average kinetic energy (temperature) of the molecules will increase except during a phase change. The absorbed energy used in the phase change breaks the attractive forces between the molecules, thus transformation occurs in the orientation of the molecules. An example of a phase change would be the boiling point of water which is a change from a liquid to a gas. This can be observed by using a temperature versus time line graph when the slope becomes zero (plateau) The boiling point of water is expected to be 100.00 </w:t>
      </w:r>
      <w:proofErr w:type="spellStart"/>
      <w:r>
        <w:rPr>
          <w:sz w:val="14"/>
          <w:szCs w:val="14"/>
        </w:rPr>
        <w:t>o</w:t>
      </w:r>
      <w:r>
        <w:rPr>
          <w:sz w:val="24"/>
          <w:szCs w:val="24"/>
        </w:rPr>
        <w:t>C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(Merck, 1976).</w:t>
      </w:r>
    </w:p>
    <w:p w:rsidR="00F25721" w:rsidRDefault="00F25721" w:rsidP="00F25721">
      <w:pPr>
        <w:spacing w:before="16" w:line="260" w:lineRule="exact"/>
        <w:jc w:val="both"/>
        <w:rPr>
          <w:sz w:val="26"/>
          <w:szCs w:val="26"/>
        </w:rPr>
      </w:pPr>
    </w:p>
    <w:p w:rsidR="00F25721" w:rsidRDefault="00F25721" w:rsidP="00F25721">
      <w:pPr>
        <w:ind w:left="100"/>
        <w:jc w:val="both"/>
        <w:rPr>
          <w:sz w:val="24"/>
          <w:szCs w:val="24"/>
        </w:rPr>
      </w:pPr>
      <w:r>
        <w:rPr>
          <w:b/>
          <w:sz w:val="24"/>
          <w:szCs w:val="24"/>
        </w:rPr>
        <w:t>Objective:</w:t>
      </w:r>
    </w:p>
    <w:p w:rsidR="00F25721" w:rsidRDefault="00F25721" w:rsidP="00F25721">
      <w:pPr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The purpose of this experiment is to determine the boiling point of water.</w:t>
      </w:r>
    </w:p>
    <w:p w:rsidR="00F25721" w:rsidRDefault="00F25721" w:rsidP="00F25721">
      <w:pPr>
        <w:spacing w:before="16" w:line="260" w:lineRule="exact"/>
        <w:jc w:val="both"/>
        <w:rPr>
          <w:sz w:val="26"/>
          <w:szCs w:val="26"/>
        </w:rPr>
      </w:pPr>
    </w:p>
    <w:p w:rsidR="00F25721" w:rsidRDefault="00F25721" w:rsidP="00F25721">
      <w:pPr>
        <w:ind w:left="100"/>
        <w:jc w:val="both"/>
        <w:rPr>
          <w:sz w:val="24"/>
          <w:szCs w:val="24"/>
        </w:rPr>
      </w:pPr>
      <w:r>
        <w:rPr>
          <w:b/>
          <w:sz w:val="24"/>
          <w:szCs w:val="24"/>
        </w:rPr>
        <w:t>Hypothesis:</w:t>
      </w:r>
    </w:p>
    <w:p w:rsidR="00F25721" w:rsidRDefault="00F25721" w:rsidP="00F25721">
      <w:pPr>
        <w:ind w:left="100" w:right="274"/>
        <w:jc w:val="both"/>
        <w:rPr>
          <w:sz w:val="24"/>
          <w:szCs w:val="24"/>
        </w:rPr>
      </w:pPr>
      <w:r>
        <w:rPr>
          <w:sz w:val="24"/>
          <w:szCs w:val="24"/>
        </w:rPr>
        <w:t>If the pressure in the classroom is close to 1 atmosphere, then the boiling point of water should be approximately 100 degrees Celsius.</w:t>
      </w:r>
    </w:p>
    <w:p w:rsidR="00F25721" w:rsidRDefault="00F25721" w:rsidP="00F25721">
      <w:pPr>
        <w:spacing w:before="15" w:line="260" w:lineRule="exact"/>
        <w:jc w:val="both"/>
        <w:rPr>
          <w:sz w:val="26"/>
          <w:szCs w:val="26"/>
        </w:rPr>
      </w:pPr>
    </w:p>
    <w:p w:rsidR="00F25721" w:rsidRDefault="00F25721" w:rsidP="00F25721">
      <w:pPr>
        <w:ind w:left="100"/>
        <w:jc w:val="both"/>
        <w:rPr>
          <w:sz w:val="24"/>
          <w:szCs w:val="24"/>
        </w:rPr>
      </w:pPr>
      <w:r>
        <w:rPr>
          <w:b/>
          <w:sz w:val="24"/>
          <w:szCs w:val="24"/>
        </w:rPr>
        <w:t>Materials List:</w:t>
      </w:r>
    </w:p>
    <w:p w:rsidR="00F25721" w:rsidRDefault="00F25721" w:rsidP="00F25721">
      <w:pPr>
        <w:ind w:left="100" w:right="7252"/>
        <w:jc w:val="both"/>
        <w:rPr>
          <w:sz w:val="24"/>
          <w:szCs w:val="24"/>
        </w:rPr>
      </w:pPr>
      <w:r>
        <w:rPr>
          <w:sz w:val="24"/>
          <w:szCs w:val="24"/>
        </w:rPr>
        <w:t>500 ml beaker distilled water, thermometer, hot plate,</w:t>
      </w:r>
    </w:p>
    <w:p w:rsidR="00F25721" w:rsidRDefault="00F25721" w:rsidP="00F25721">
      <w:pPr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Word Processing Software</w:t>
      </w:r>
    </w:p>
    <w:p w:rsidR="00F25721" w:rsidRDefault="00F25721" w:rsidP="00F25721">
      <w:pPr>
        <w:spacing w:before="16" w:line="260" w:lineRule="exact"/>
        <w:jc w:val="both"/>
        <w:rPr>
          <w:sz w:val="26"/>
          <w:szCs w:val="26"/>
        </w:rPr>
      </w:pPr>
    </w:p>
    <w:p w:rsidR="00BA3F16" w:rsidRDefault="00BA3F16" w:rsidP="00F25721">
      <w:pPr>
        <w:ind w:left="100"/>
        <w:jc w:val="both"/>
        <w:rPr>
          <w:b/>
          <w:sz w:val="24"/>
          <w:szCs w:val="24"/>
        </w:rPr>
      </w:pPr>
    </w:p>
    <w:p w:rsidR="00F25721" w:rsidRDefault="00F25721" w:rsidP="00F25721">
      <w:pPr>
        <w:ind w:left="100"/>
        <w:jc w:val="both"/>
        <w:rPr>
          <w:sz w:val="24"/>
          <w:szCs w:val="24"/>
        </w:rPr>
      </w:pPr>
      <w:r>
        <w:rPr>
          <w:b/>
          <w:sz w:val="24"/>
          <w:szCs w:val="24"/>
        </w:rPr>
        <w:t>Procedure:</w:t>
      </w:r>
    </w:p>
    <w:p w:rsidR="00F25721" w:rsidRDefault="00F25721" w:rsidP="00F25721">
      <w:pPr>
        <w:ind w:left="100" w:right="2194"/>
        <w:jc w:val="both"/>
        <w:rPr>
          <w:sz w:val="24"/>
          <w:szCs w:val="24"/>
        </w:rPr>
      </w:pPr>
      <w:r>
        <w:rPr>
          <w:sz w:val="24"/>
          <w:szCs w:val="24"/>
        </w:rPr>
        <w:t>The required materials were selected and taken to the workstation. The beaker was filled with approximately 300 ml of distilled water. The beaker was gently placed on the hotplate.</w:t>
      </w:r>
    </w:p>
    <w:p w:rsidR="00F25721" w:rsidRDefault="00F25721" w:rsidP="00F25721">
      <w:pPr>
        <w:ind w:left="100" w:right="623"/>
        <w:jc w:val="both"/>
        <w:rPr>
          <w:sz w:val="24"/>
          <w:szCs w:val="24"/>
        </w:rPr>
      </w:pPr>
      <w:r>
        <w:rPr>
          <w:sz w:val="24"/>
          <w:szCs w:val="24"/>
        </w:rPr>
        <w:t>The thermometer was placed in the beaker and the initial temperature was recorded. The hotplate was switched on to high.</w:t>
      </w:r>
    </w:p>
    <w:p w:rsidR="00F25721" w:rsidRDefault="00F25721" w:rsidP="00F25721">
      <w:pPr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The temperature was recorded every 2 minutes until 6 minutes after boiling began.</w:t>
      </w:r>
    </w:p>
    <w:p w:rsidR="00F25721" w:rsidRDefault="00F25721" w:rsidP="00F25721">
      <w:pPr>
        <w:ind w:left="100" w:right="68"/>
        <w:jc w:val="both"/>
        <w:rPr>
          <w:sz w:val="24"/>
          <w:szCs w:val="24"/>
        </w:rPr>
      </w:pPr>
      <w:r>
        <w:rPr>
          <w:sz w:val="24"/>
          <w:szCs w:val="24"/>
        </w:rPr>
        <w:t>The hotplate was turned off and the materials were allowed to cool for at least 10 minutes before the equipment was dismantled.</w:t>
      </w:r>
    </w:p>
    <w:p w:rsidR="00C4198D" w:rsidRDefault="00C4198D" w:rsidP="00F25721">
      <w:pPr>
        <w:ind w:left="100" w:right="68"/>
        <w:jc w:val="both"/>
        <w:rPr>
          <w:sz w:val="24"/>
          <w:szCs w:val="24"/>
        </w:rPr>
        <w:sectPr w:rsidR="00C4198D" w:rsidSect="00BA3F16">
          <w:pgSz w:w="12240" w:h="15840"/>
          <w:pgMar w:top="709" w:right="1325" w:bottom="280" w:left="1700" w:header="708" w:footer="708" w:gutter="0"/>
          <w:cols w:space="708"/>
        </w:sectPr>
      </w:pPr>
    </w:p>
    <w:p w:rsidR="00F25721" w:rsidRDefault="00F25721" w:rsidP="00F25721">
      <w:pPr>
        <w:spacing w:before="6" w:line="200" w:lineRule="exact"/>
        <w:jc w:val="both"/>
      </w:pPr>
    </w:p>
    <w:p w:rsidR="00F25721" w:rsidRDefault="00F25721" w:rsidP="00F25721">
      <w:pPr>
        <w:spacing w:before="29"/>
        <w:ind w:left="10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Figure 1.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 e</w:t>
      </w:r>
      <w:bookmarkStart w:id="0" w:name="_GoBack"/>
      <w:bookmarkEnd w:id="0"/>
      <w:r>
        <w:rPr>
          <w:sz w:val="24"/>
          <w:szCs w:val="24"/>
        </w:rPr>
        <w:t>quipment for this experiment was set up as shown in this figure.</w:t>
      </w:r>
    </w:p>
    <w:p w:rsidR="00F25721" w:rsidRDefault="00F25721" w:rsidP="00F25721">
      <w:pPr>
        <w:spacing w:line="200" w:lineRule="exact"/>
        <w:jc w:val="both"/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 wp14:anchorId="0F00D105" wp14:editId="2D5F5E7F">
            <wp:simplePos x="0" y="0"/>
            <wp:positionH relativeFrom="page">
              <wp:posOffset>1666875</wp:posOffset>
            </wp:positionH>
            <wp:positionV relativeFrom="paragraph">
              <wp:posOffset>97790</wp:posOffset>
            </wp:positionV>
            <wp:extent cx="4143375" cy="2468245"/>
            <wp:effectExtent l="0" t="0" r="9525" b="825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46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before="1" w:line="260" w:lineRule="exact"/>
        <w:jc w:val="both"/>
        <w:rPr>
          <w:sz w:val="26"/>
          <w:szCs w:val="26"/>
        </w:rPr>
      </w:pPr>
    </w:p>
    <w:p w:rsidR="00F25721" w:rsidRDefault="00F25721" w:rsidP="00F25721">
      <w:pPr>
        <w:ind w:left="100"/>
        <w:jc w:val="both"/>
        <w:rPr>
          <w:sz w:val="24"/>
          <w:szCs w:val="24"/>
        </w:rPr>
      </w:pPr>
      <w:r>
        <w:rPr>
          <w:b/>
          <w:sz w:val="24"/>
          <w:szCs w:val="24"/>
        </w:rPr>
        <w:t>Data / Results / Observations:</w:t>
      </w:r>
    </w:p>
    <w:p w:rsidR="00F25721" w:rsidRDefault="00F25721" w:rsidP="00F25721">
      <w:pPr>
        <w:ind w:left="100"/>
        <w:jc w:val="both"/>
        <w:rPr>
          <w:sz w:val="24"/>
          <w:szCs w:val="24"/>
          <w:u w:val="single" w:color="000000"/>
        </w:rPr>
      </w:pPr>
      <w:r>
        <w:rPr>
          <w:sz w:val="24"/>
          <w:szCs w:val="24"/>
          <w:u w:val="single" w:color="000000"/>
        </w:rPr>
        <w:t>Quantitative Results</w:t>
      </w:r>
    </w:p>
    <w:p w:rsidR="00C4198D" w:rsidRDefault="00C4198D" w:rsidP="00F25721">
      <w:pPr>
        <w:ind w:left="100"/>
        <w:jc w:val="both"/>
        <w:rPr>
          <w:sz w:val="24"/>
          <w:szCs w:val="24"/>
        </w:rPr>
      </w:pPr>
    </w:p>
    <w:p w:rsidR="00F25721" w:rsidRDefault="00F25721" w:rsidP="00F25721">
      <w:pPr>
        <w:ind w:left="1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Table 1 </w:t>
      </w:r>
      <w:r>
        <w:rPr>
          <w:sz w:val="24"/>
          <w:szCs w:val="24"/>
        </w:rPr>
        <w:t>Graph displaying data obtained from the heating of water from 0 to 16 minutes</w:t>
      </w:r>
    </w:p>
    <w:p w:rsidR="00F25721" w:rsidRDefault="00F25721" w:rsidP="00F25721">
      <w:pPr>
        <w:spacing w:before="8" w:line="100" w:lineRule="exact"/>
        <w:jc w:val="both"/>
        <w:rPr>
          <w:sz w:val="11"/>
          <w:szCs w:val="11"/>
        </w:rPr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ind w:left="100"/>
        <w:jc w:val="both"/>
        <w:rPr>
          <w:sz w:val="24"/>
          <w:szCs w:val="24"/>
        </w:rPr>
        <w:sectPr w:rsidR="00F25721">
          <w:pgSz w:w="12240" w:h="15840"/>
          <w:pgMar w:top="1480" w:right="1720" w:bottom="280" w:left="1700" w:header="708" w:footer="708" w:gutter="0"/>
          <w:cols w:space="708"/>
        </w:sectPr>
      </w:pPr>
      <w:r>
        <w:rPr>
          <w:noProof/>
          <w:lang w:val="tr-TR" w:eastAsia="tr-TR"/>
        </w:rPr>
        <w:drawing>
          <wp:anchor distT="0" distB="0" distL="114300" distR="114300" simplePos="0" relativeHeight="251660288" behindDoc="1" locked="0" layoutInCell="1" allowOverlap="1" wp14:anchorId="3EB8F206" wp14:editId="58299962">
            <wp:simplePos x="0" y="0"/>
            <wp:positionH relativeFrom="page">
              <wp:posOffset>1143000</wp:posOffset>
            </wp:positionH>
            <wp:positionV relativeFrom="paragraph">
              <wp:posOffset>-3884295</wp:posOffset>
            </wp:positionV>
            <wp:extent cx="4968240" cy="3884930"/>
            <wp:effectExtent l="0" t="0" r="3810" b="127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88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sz w:val="24"/>
          <w:szCs w:val="24"/>
        </w:rPr>
        <w:t>Figure 2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 line graph of temperature versus time of the data obtained in Table 1</w:t>
      </w:r>
    </w:p>
    <w:p w:rsidR="00F25721" w:rsidRDefault="00F25721" w:rsidP="00F25721">
      <w:pPr>
        <w:spacing w:before="59"/>
        <w:ind w:left="100"/>
        <w:jc w:val="both"/>
        <w:rPr>
          <w:sz w:val="24"/>
          <w:szCs w:val="24"/>
        </w:rPr>
      </w:pPr>
      <w:r>
        <w:rPr>
          <w:sz w:val="24"/>
          <w:szCs w:val="24"/>
          <w:u w:val="single" w:color="000000"/>
        </w:rPr>
        <w:lastRenderedPageBreak/>
        <w:t>Qualitative Results</w:t>
      </w:r>
    </w:p>
    <w:p w:rsidR="00F25721" w:rsidRDefault="00F25721" w:rsidP="00F25721">
      <w:pPr>
        <w:ind w:left="100" w:right="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Numerous small bubbles formed at the bottom of the beaker at 70.6 </w:t>
      </w:r>
      <w:proofErr w:type="spellStart"/>
      <w:r w:rsidRPr="00F25721">
        <w:rPr>
          <w:sz w:val="14"/>
          <w:szCs w:val="14"/>
          <w:vertAlign w:val="superscript"/>
        </w:rPr>
        <w:t>o</w:t>
      </w:r>
      <w:r>
        <w:rPr>
          <w:sz w:val="24"/>
          <w:szCs w:val="24"/>
        </w:rPr>
        <w:t>C.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size and rate of bubble formation increased as the temperature increased. At 100.0 </w:t>
      </w:r>
      <w:proofErr w:type="spellStart"/>
      <w:r w:rsidRPr="00F25721">
        <w:rPr>
          <w:sz w:val="14"/>
          <w:szCs w:val="1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rate and size of bubble formation remained constant. At that temperature, there was constant production of steam.</w:t>
      </w:r>
    </w:p>
    <w:p w:rsidR="00F25721" w:rsidRDefault="00F25721" w:rsidP="00F25721">
      <w:pPr>
        <w:spacing w:before="16" w:line="260" w:lineRule="exact"/>
        <w:jc w:val="both"/>
        <w:rPr>
          <w:sz w:val="26"/>
          <w:szCs w:val="26"/>
        </w:rPr>
      </w:pPr>
    </w:p>
    <w:p w:rsidR="00F25721" w:rsidRDefault="00F25721" w:rsidP="00F25721">
      <w:pPr>
        <w:ind w:left="10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Calcuations</w:t>
      </w:r>
      <w:proofErr w:type="spellEnd"/>
      <w:r>
        <w:rPr>
          <w:b/>
          <w:sz w:val="24"/>
          <w:szCs w:val="24"/>
        </w:rPr>
        <w:t xml:space="preserve"> / Analysis:</w:t>
      </w:r>
    </w:p>
    <w:p w:rsidR="00F25721" w:rsidRDefault="00F25721" w:rsidP="00F25721">
      <w:pPr>
        <w:ind w:left="100"/>
        <w:jc w:val="both"/>
        <w:rPr>
          <w:sz w:val="24"/>
          <w:szCs w:val="24"/>
        </w:rPr>
      </w:pPr>
    </w:p>
    <w:p w:rsidR="00F25721" w:rsidRDefault="00F25721" w:rsidP="00F25721">
      <w:pPr>
        <w:spacing w:line="200" w:lineRule="exact"/>
        <w:jc w:val="both"/>
      </w:pPr>
      <w:r>
        <w:rPr>
          <w:noProof/>
          <w:lang w:val="tr-TR" w:eastAsia="tr-TR"/>
        </w:rPr>
        <w:drawing>
          <wp:anchor distT="0" distB="0" distL="114300" distR="114300" simplePos="0" relativeHeight="251661312" behindDoc="1" locked="0" layoutInCell="1" allowOverlap="1" wp14:anchorId="4EEE3033" wp14:editId="22BBE813">
            <wp:simplePos x="0" y="0"/>
            <wp:positionH relativeFrom="page">
              <wp:posOffset>1143000</wp:posOffset>
            </wp:positionH>
            <wp:positionV relativeFrom="paragraph">
              <wp:posOffset>2540</wp:posOffset>
            </wp:positionV>
            <wp:extent cx="3867150" cy="221170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21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before="9" w:line="240" w:lineRule="exact"/>
        <w:jc w:val="both"/>
        <w:rPr>
          <w:sz w:val="24"/>
          <w:szCs w:val="24"/>
        </w:rPr>
      </w:pPr>
    </w:p>
    <w:p w:rsidR="00F25721" w:rsidRDefault="00F25721" w:rsidP="00F25721">
      <w:pPr>
        <w:ind w:left="100"/>
        <w:jc w:val="both"/>
        <w:rPr>
          <w:sz w:val="24"/>
          <w:szCs w:val="24"/>
        </w:rPr>
      </w:pPr>
      <w:r>
        <w:rPr>
          <w:b/>
          <w:sz w:val="24"/>
          <w:szCs w:val="24"/>
        </w:rPr>
        <w:t>Conclusion:</w:t>
      </w:r>
    </w:p>
    <w:p w:rsidR="00F25721" w:rsidRDefault="00F25721" w:rsidP="00F25721">
      <w:pPr>
        <w:spacing w:before="2" w:line="260" w:lineRule="exact"/>
        <w:ind w:left="100" w:right="1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was determined from the data plotted in the temperature versus time graph (Figure 2) that the boiling point of water is 99.51 </w:t>
      </w:r>
      <w:r>
        <w:rPr>
          <w:position w:val="6"/>
          <w:sz w:val="9"/>
          <w:szCs w:val="9"/>
        </w:rPr>
        <w:t>o</w:t>
      </w:r>
      <w:r>
        <w:rPr>
          <w:sz w:val="24"/>
          <w:szCs w:val="24"/>
        </w:rPr>
        <w:t xml:space="preserve">C. This concurs very closely with the stated hypothesis; therefore the experiment was deemed a success. The percent error was found to be 0.49%. Possible sources of error could have involved impurities in the water and human error in reading the thermometer. Possible sources of error may </w:t>
      </w:r>
      <w:proofErr w:type="gramStart"/>
      <w:r>
        <w:rPr>
          <w:sz w:val="24"/>
          <w:szCs w:val="24"/>
        </w:rPr>
        <w:t>be  impurities</w:t>
      </w:r>
      <w:proofErr w:type="gramEnd"/>
      <w:r>
        <w:rPr>
          <w:sz w:val="24"/>
          <w:szCs w:val="24"/>
        </w:rPr>
        <w:t xml:space="preserve"> in the water which may be chemicals from dirty glassware. Improvements would include more accurate thermometers, clean equipment and proper reading of the thermometer.</w:t>
      </w:r>
    </w:p>
    <w:p w:rsidR="00F25721" w:rsidRDefault="00F25721" w:rsidP="00F25721">
      <w:pPr>
        <w:spacing w:before="9" w:line="140" w:lineRule="exact"/>
        <w:jc w:val="both"/>
        <w:rPr>
          <w:sz w:val="14"/>
          <w:szCs w:val="14"/>
        </w:rPr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spacing w:line="200" w:lineRule="exact"/>
        <w:jc w:val="both"/>
      </w:pPr>
    </w:p>
    <w:p w:rsidR="00F25721" w:rsidRDefault="00F25721" w:rsidP="00F25721">
      <w:pPr>
        <w:ind w:left="100"/>
        <w:jc w:val="both"/>
        <w:rPr>
          <w:sz w:val="24"/>
          <w:szCs w:val="24"/>
        </w:rPr>
      </w:pPr>
      <w:r>
        <w:rPr>
          <w:b/>
          <w:sz w:val="24"/>
          <w:szCs w:val="24"/>
        </w:rPr>
        <w:t>References:</w:t>
      </w:r>
    </w:p>
    <w:p w:rsidR="00F25721" w:rsidRDefault="00F25721" w:rsidP="00F25721">
      <w:pPr>
        <w:ind w:left="100" w:right="357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Kane, Joseph W. and Morton M. </w:t>
      </w:r>
      <w:proofErr w:type="spellStart"/>
      <w:r>
        <w:rPr>
          <w:sz w:val="24"/>
          <w:szCs w:val="24"/>
        </w:rPr>
        <w:t>Sternheim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Physics.</w:t>
      </w:r>
      <w:proofErr w:type="gramEnd"/>
      <w:r>
        <w:rPr>
          <w:sz w:val="24"/>
          <w:szCs w:val="24"/>
        </w:rPr>
        <w:t xml:space="preserve"> New York: John Wiley &amp; Sons, 1984 </w:t>
      </w:r>
      <w:proofErr w:type="gramStart"/>
      <w:r>
        <w:rPr>
          <w:sz w:val="24"/>
          <w:szCs w:val="24"/>
        </w:rPr>
        <w:t>ed</w:t>
      </w:r>
      <w:proofErr w:type="gramEnd"/>
      <w:r>
        <w:rPr>
          <w:sz w:val="24"/>
          <w:szCs w:val="24"/>
        </w:rPr>
        <w:t>.</w:t>
      </w:r>
    </w:p>
    <w:p w:rsidR="00F25721" w:rsidRDefault="00F25721" w:rsidP="00F25721">
      <w:pPr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Merck, Josef. </w:t>
      </w:r>
      <w:proofErr w:type="gramStart"/>
      <w:r>
        <w:rPr>
          <w:sz w:val="24"/>
          <w:szCs w:val="24"/>
        </w:rPr>
        <w:t>Merck Index of Chemical Constants.</w:t>
      </w:r>
      <w:proofErr w:type="gramEnd"/>
      <w:r>
        <w:rPr>
          <w:sz w:val="24"/>
          <w:szCs w:val="24"/>
        </w:rPr>
        <w:t xml:space="preserve"> New</w:t>
      </w:r>
    </w:p>
    <w:p w:rsidR="00F25721" w:rsidRDefault="00F25721" w:rsidP="00F25721">
      <w:pPr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York: Benjamin/Cummings Publishing Company Inc. 1976.</w:t>
      </w:r>
    </w:p>
    <w:p w:rsidR="005F130A" w:rsidRDefault="005F130A" w:rsidP="00F25721">
      <w:pPr>
        <w:jc w:val="both"/>
      </w:pPr>
    </w:p>
    <w:sectPr w:rsidR="005F130A">
      <w:pgSz w:w="12240" w:h="15840"/>
      <w:pgMar w:top="1380" w:right="1720" w:bottom="280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21"/>
    <w:rsid w:val="0001340B"/>
    <w:rsid w:val="00440248"/>
    <w:rsid w:val="005F130A"/>
    <w:rsid w:val="00BA3F16"/>
    <w:rsid w:val="00C4198D"/>
    <w:rsid w:val="00F2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izelgeyazs">
    <w:name w:val="çizelge yazısı"/>
    <w:basedOn w:val="ResimYazs"/>
    <w:rsid w:val="0001340B"/>
    <w:pPr>
      <w:spacing w:before="240" w:after="120"/>
      <w:jc w:val="center"/>
    </w:pPr>
    <w:rPr>
      <w:rFonts w:ascii="Calibri" w:eastAsia="Times New Roman" w:hAnsi="Calibri" w:cs="Times New Roman"/>
      <w:b w:val="0"/>
      <w:bCs w:val="0"/>
      <w:color w:val="auto"/>
      <w:sz w:val="24"/>
      <w:szCs w:val="20"/>
      <w:lang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1340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tr-TR"/>
    </w:rPr>
  </w:style>
  <w:style w:type="table" w:styleId="AkKlavuz">
    <w:name w:val="Light Grid"/>
    <w:basedOn w:val="NormalTablo"/>
    <w:uiPriority w:val="62"/>
    <w:rsid w:val="0044024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402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024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izelgeyazs">
    <w:name w:val="çizelge yazısı"/>
    <w:basedOn w:val="ResimYazs"/>
    <w:rsid w:val="0001340B"/>
    <w:pPr>
      <w:spacing w:before="240" w:after="120"/>
      <w:jc w:val="center"/>
    </w:pPr>
    <w:rPr>
      <w:rFonts w:ascii="Calibri" w:eastAsia="Times New Roman" w:hAnsi="Calibri" w:cs="Times New Roman"/>
      <w:b w:val="0"/>
      <w:bCs w:val="0"/>
      <w:color w:val="auto"/>
      <w:sz w:val="24"/>
      <w:szCs w:val="20"/>
      <w:lang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1340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tr-TR"/>
    </w:rPr>
  </w:style>
  <w:style w:type="table" w:styleId="AkKlavuz">
    <w:name w:val="Light Grid"/>
    <w:basedOn w:val="NormalTablo"/>
    <w:uiPriority w:val="62"/>
    <w:rsid w:val="0044024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402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024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Porfirin</dc:creator>
  <cp:lastModifiedBy>Porfirin</cp:lastModifiedBy>
  <cp:revision>4</cp:revision>
  <dcterms:created xsi:type="dcterms:W3CDTF">2016-10-10T16:22:00Z</dcterms:created>
  <dcterms:modified xsi:type="dcterms:W3CDTF">2016-10-10T16:33:00Z</dcterms:modified>
</cp:coreProperties>
</file>